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3189"/>
      </w:tblGrid>
      <w:tr w:rsidR="00B97662" w:rsidRPr="00B97662" w14:paraId="643E0B14" w14:textId="77777777" w:rsidTr="000E5A6B">
        <w:trPr>
          <w:trHeight w:val="1266"/>
        </w:trPr>
        <w:tc>
          <w:tcPr>
            <w:tcW w:w="7479" w:type="dxa"/>
            <w:shd w:val="clear" w:color="auto" w:fill="auto"/>
          </w:tcPr>
          <w:p w14:paraId="694EF3D2" w14:textId="77777777" w:rsidR="00B97662" w:rsidRPr="00B97662" w:rsidRDefault="00B97662" w:rsidP="00B97662">
            <w:pPr>
              <w:spacing w:after="160" w:line="259" w:lineRule="auto"/>
              <w:rPr>
                <w:rFonts w:ascii="HelveticaNeueLT Std Blk" w:hAnsi="HelveticaNeueLT Std Blk"/>
                <w:sz w:val="28"/>
                <w:szCs w:val="28"/>
              </w:rPr>
            </w:pPr>
            <w:r w:rsidRPr="00B97662">
              <w:rPr>
                <w:rFonts w:ascii="HelveticaNeueLT Std Blk" w:hAnsi="HelveticaNeueLT Std Blk"/>
                <w:sz w:val="28"/>
                <w:szCs w:val="28"/>
              </w:rPr>
              <w:t>Health and Safety Procedure</w:t>
            </w:r>
          </w:p>
          <w:p w14:paraId="14ECB873" w14:textId="77777777" w:rsidR="00B97662" w:rsidRPr="00B97662" w:rsidRDefault="00B97662" w:rsidP="00B97662">
            <w:pPr>
              <w:tabs>
                <w:tab w:val="center" w:pos="4153"/>
                <w:tab w:val="right" w:pos="8306"/>
              </w:tabs>
              <w:rPr>
                <w:b/>
                <w:bCs/>
              </w:rPr>
            </w:pPr>
            <w:r w:rsidRPr="00B97662">
              <w:rPr>
                <w:rFonts w:ascii="HelveticaNeueLT Std" w:hAnsi="HelveticaNeueLT Std"/>
                <w:b/>
                <w:bCs/>
                <w:sz w:val="22"/>
                <w:szCs w:val="22"/>
              </w:rPr>
              <w:t>HSP17 Food Handlers: Fitness to Work Procedure</w:t>
            </w:r>
          </w:p>
        </w:tc>
        <w:tc>
          <w:tcPr>
            <w:tcW w:w="3359" w:type="dxa"/>
            <w:shd w:val="clear" w:color="auto" w:fill="auto"/>
          </w:tcPr>
          <w:p w14:paraId="586CE29A" w14:textId="7DB245F7" w:rsidR="00B97662" w:rsidRPr="00B97662" w:rsidRDefault="00B97662" w:rsidP="00B97662">
            <w:pPr>
              <w:tabs>
                <w:tab w:val="center" w:pos="4153"/>
                <w:tab w:val="right" w:pos="8306"/>
              </w:tabs>
            </w:pPr>
            <w:r w:rsidRPr="00B97662">
              <w:rPr>
                <w:rFonts w:ascii="HelveticaNeueLT Std" w:hAnsi="HelveticaNeueLT Std"/>
                <w:noProof/>
                <w:sz w:val="22"/>
                <w:szCs w:val="22"/>
                <w:lang w:eastAsia="en-GB"/>
              </w:rPr>
              <w:drawing>
                <wp:inline distT="0" distB="0" distL="0" distR="0" wp14:anchorId="0FA2882E" wp14:editId="455F8D08">
                  <wp:extent cx="1619250" cy="679450"/>
                  <wp:effectExtent l="0" t="0" r="0" b="6350"/>
                  <wp:docPr id="1" name="Picture 1" descr="BS1995_Haringey_TapeType_485C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1995_Haringey_TapeType_485C_PMS.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679450"/>
                          </a:xfrm>
                          <a:prstGeom prst="rect">
                            <a:avLst/>
                          </a:prstGeom>
                          <a:noFill/>
                          <a:ln>
                            <a:noFill/>
                          </a:ln>
                        </pic:spPr>
                      </pic:pic>
                    </a:graphicData>
                  </a:graphic>
                </wp:inline>
              </w:drawing>
            </w:r>
          </w:p>
        </w:tc>
      </w:tr>
    </w:tbl>
    <w:p w14:paraId="072F3DF1" w14:textId="57E9ED7C" w:rsidR="002007F6" w:rsidRDefault="002007F6"/>
    <w:p w14:paraId="4448A34F" w14:textId="6E8FA604" w:rsidR="00B97662" w:rsidRDefault="00B97662"/>
    <w:p w14:paraId="0DFA0106" w14:textId="77777777" w:rsidR="00B97662" w:rsidRPr="00D656AA" w:rsidRDefault="00B97662" w:rsidP="00B97662">
      <w:pPr>
        <w:jc w:val="center"/>
        <w:rPr>
          <w:rFonts w:ascii="HelveticaNeueLT Std" w:hAnsi="HelveticaNeueLT Std"/>
          <w:b/>
          <w:sz w:val="24"/>
          <w:szCs w:val="24"/>
          <w:u w:val="single"/>
          <w:lang w:eastAsia="en-GB"/>
        </w:rPr>
      </w:pPr>
      <w:bookmarkStart w:id="0" w:name="_Hlk52444597"/>
      <w:r w:rsidRPr="00D656AA">
        <w:rPr>
          <w:rFonts w:ascii="HelveticaNeueLT Std" w:hAnsi="HelveticaNeueLT Std"/>
          <w:b/>
          <w:sz w:val="24"/>
          <w:szCs w:val="24"/>
          <w:u w:val="single"/>
          <w:lang w:eastAsia="en-GB"/>
        </w:rPr>
        <w:t>Management of Ill Health</w:t>
      </w:r>
      <w:r>
        <w:rPr>
          <w:rFonts w:ascii="HelveticaNeueLT Std" w:hAnsi="HelveticaNeueLT Std"/>
          <w:b/>
          <w:sz w:val="24"/>
          <w:szCs w:val="24"/>
          <w:u w:val="single"/>
          <w:lang w:eastAsia="en-GB"/>
        </w:rPr>
        <w:t xml:space="preserve"> for Food Handlers – Information for Management</w:t>
      </w:r>
    </w:p>
    <w:bookmarkEnd w:id="0"/>
    <w:p w14:paraId="4B060DBC" w14:textId="77777777" w:rsidR="00B97662" w:rsidRPr="00D656AA" w:rsidRDefault="00B97662" w:rsidP="00B97662">
      <w:pPr>
        <w:jc w:val="both"/>
        <w:rPr>
          <w:rFonts w:ascii="HelveticaNeueLT Std" w:hAnsi="HelveticaNeueLT Std"/>
          <w:sz w:val="24"/>
          <w:szCs w:val="24"/>
          <w:lang w:eastAsia="en-GB"/>
        </w:rPr>
      </w:pPr>
    </w:p>
    <w:p w14:paraId="4249B4DF" w14:textId="77777777" w:rsidR="00B97662" w:rsidRPr="00D656AA" w:rsidRDefault="00B97662" w:rsidP="00B97662">
      <w:pPr>
        <w:jc w:val="both"/>
        <w:rPr>
          <w:rFonts w:ascii="HelveticaNeueLT Std" w:hAnsi="HelveticaNeueLT Std"/>
          <w:sz w:val="22"/>
          <w:szCs w:val="22"/>
          <w:lang w:eastAsia="en-GB"/>
        </w:rPr>
      </w:pPr>
      <w:r w:rsidRPr="00D656AA">
        <w:rPr>
          <w:rFonts w:ascii="HelveticaNeueLT Std" w:hAnsi="HelveticaNeueLT Std"/>
          <w:sz w:val="22"/>
          <w:szCs w:val="22"/>
          <w:lang w:eastAsia="en-GB"/>
        </w:rPr>
        <w:t xml:space="preserve">Food handlers who become ill </w:t>
      </w:r>
      <w:r w:rsidRPr="00D656AA">
        <w:rPr>
          <w:rFonts w:ascii="HelveticaNeueLT Std" w:hAnsi="HelveticaNeueLT Std"/>
          <w:b/>
          <w:sz w:val="22"/>
          <w:szCs w:val="22"/>
          <w:u w:val="single"/>
          <w:lang w:eastAsia="en-GB"/>
        </w:rPr>
        <w:t>must</w:t>
      </w:r>
      <w:r w:rsidRPr="00D656AA">
        <w:rPr>
          <w:rFonts w:ascii="HelveticaNeueLT Std" w:hAnsi="HelveticaNeueLT Std"/>
          <w:sz w:val="22"/>
          <w:szCs w:val="22"/>
          <w:lang w:eastAsia="en-GB"/>
        </w:rPr>
        <w:t xml:space="preserve"> report this to Management to comply with the “Food Handlers </w:t>
      </w:r>
      <w:r>
        <w:rPr>
          <w:rFonts w:ascii="HelveticaNeueLT Std" w:hAnsi="HelveticaNeueLT Std"/>
          <w:sz w:val="22"/>
          <w:szCs w:val="22"/>
          <w:lang w:eastAsia="en-GB"/>
        </w:rPr>
        <w:t xml:space="preserve">Information and </w:t>
      </w:r>
      <w:r w:rsidRPr="00D656AA">
        <w:rPr>
          <w:rFonts w:ascii="HelveticaNeueLT Std" w:hAnsi="HelveticaNeueLT Std"/>
          <w:sz w:val="22"/>
          <w:szCs w:val="22"/>
          <w:lang w:eastAsia="en-GB"/>
        </w:rPr>
        <w:t xml:space="preserve">Declaration” </w:t>
      </w:r>
      <w:r>
        <w:rPr>
          <w:rFonts w:ascii="HelveticaNeueLT Std" w:hAnsi="HelveticaNeueLT Std"/>
          <w:sz w:val="22"/>
          <w:szCs w:val="22"/>
          <w:lang w:eastAsia="en-GB"/>
        </w:rPr>
        <w:t xml:space="preserve">in the Food Handlers: Fitness to Work Procedure </w:t>
      </w:r>
      <w:r w:rsidRPr="00D656AA">
        <w:rPr>
          <w:rFonts w:ascii="HelveticaNeueLT Std" w:hAnsi="HelveticaNeueLT Std"/>
          <w:sz w:val="22"/>
          <w:szCs w:val="22"/>
          <w:lang w:eastAsia="en-GB"/>
        </w:rPr>
        <w:t xml:space="preserve">as signed by all </w:t>
      </w:r>
      <w:r>
        <w:rPr>
          <w:rFonts w:ascii="HelveticaNeueLT Std" w:hAnsi="HelveticaNeueLT Std"/>
          <w:sz w:val="22"/>
          <w:szCs w:val="22"/>
          <w:lang w:eastAsia="en-GB"/>
        </w:rPr>
        <w:t>f</w:t>
      </w:r>
      <w:r w:rsidRPr="00D656AA">
        <w:rPr>
          <w:rFonts w:ascii="HelveticaNeueLT Std" w:hAnsi="HelveticaNeueLT Std"/>
          <w:sz w:val="22"/>
          <w:szCs w:val="22"/>
          <w:lang w:eastAsia="en-GB"/>
        </w:rPr>
        <w:t xml:space="preserve">ood </w:t>
      </w:r>
      <w:r>
        <w:rPr>
          <w:rFonts w:ascii="HelveticaNeueLT Std" w:hAnsi="HelveticaNeueLT Std"/>
          <w:sz w:val="22"/>
          <w:szCs w:val="22"/>
          <w:lang w:eastAsia="en-GB"/>
        </w:rPr>
        <w:t>h</w:t>
      </w:r>
      <w:r w:rsidRPr="00D656AA">
        <w:rPr>
          <w:rFonts w:ascii="HelveticaNeueLT Std" w:hAnsi="HelveticaNeueLT Std"/>
          <w:sz w:val="22"/>
          <w:szCs w:val="22"/>
          <w:lang w:eastAsia="en-GB"/>
        </w:rPr>
        <w:t>andlers.  All food handling areas should display the criteria for reporting in “prominent positions”, outside the kitchen</w:t>
      </w:r>
      <w:r>
        <w:rPr>
          <w:rFonts w:ascii="HelveticaNeueLT Std" w:hAnsi="HelveticaNeueLT Std"/>
          <w:sz w:val="22"/>
          <w:szCs w:val="22"/>
          <w:lang w:eastAsia="en-GB"/>
        </w:rPr>
        <w:t>/food handling</w:t>
      </w:r>
      <w:r w:rsidRPr="00D656AA">
        <w:rPr>
          <w:rFonts w:ascii="HelveticaNeueLT Std" w:hAnsi="HelveticaNeueLT Std"/>
          <w:sz w:val="22"/>
          <w:szCs w:val="22"/>
          <w:lang w:eastAsia="en-GB"/>
        </w:rPr>
        <w:t xml:space="preserve"> area</w:t>
      </w:r>
      <w:r>
        <w:rPr>
          <w:rFonts w:ascii="HelveticaNeueLT Std" w:hAnsi="HelveticaNeueLT Std"/>
          <w:sz w:val="22"/>
          <w:szCs w:val="22"/>
          <w:lang w:eastAsia="en-GB"/>
        </w:rPr>
        <w:t>.</w:t>
      </w:r>
    </w:p>
    <w:p w14:paraId="20ACA51B" w14:textId="77777777" w:rsidR="00B97662" w:rsidRPr="00D656AA" w:rsidRDefault="00B97662" w:rsidP="00B97662">
      <w:pPr>
        <w:jc w:val="both"/>
        <w:rPr>
          <w:rFonts w:ascii="HelveticaNeueLT Std" w:hAnsi="HelveticaNeueLT Std"/>
          <w:sz w:val="22"/>
          <w:szCs w:val="22"/>
          <w:lang w:eastAsia="en-GB"/>
        </w:rPr>
      </w:pPr>
    </w:p>
    <w:p w14:paraId="1A46CB56" w14:textId="77777777" w:rsidR="00B97662" w:rsidRPr="00D656AA" w:rsidRDefault="00B97662" w:rsidP="00B97662">
      <w:pPr>
        <w:jc w:val="both"/>
        <w:rPr>
          <w:rFonts w:ascii="HelveticaNeueLT Std" w:hAnsi="HelveticaNeueLT Std"/>
          <w:sz w:val="22"/>
          <w:szCs w:val="22"/>
          <w:lang w:eastAsia="en-GB"/>
        </w:rPr>
      </w:pPr>
      <w:r w:rsidRPr="00D656AA">
        <w:rPr>
          <w:rFonts w:ascii="HelveticaNeueLT Std" w:hAnsi="HelveticaNeueLT Std"/>
          <w:sz w:val="22"/>
          <w:szCs w:val="22"/>
          <w:lang w:eastAsia="en-GB"/>
        </w:rPr>
        <w:t xml:space="preserve">Once reported, </w:t>
      </w:r>
      <w:r>
        <w:rPr>
          <w:rFonts w:ascii="HelveticaNeueLT Std" w:hAnsi="HelveticaNeueLT Std"/>
          <w:sz w:val="22"/>
          <w:szCs w:val="22"/>
          <w:lang w:eastAsia="en-GB"/>
        </w:rPr>
        <w:t xml:space="preserve">a food handler with an infection should remain excluded from any work that involves direct handling or serving of open ready to eat food  until written </w:t>
      </w:r>
      <w:r w:rsidRPr="00D656AA">
        <w:rPr>
          <w:rFonts w:ascii="HelveticaNeueLT Std" w:hAnsi="HelveticaNeueLT Std"/>
          <w:sz w:val="22"/>
          <w:szCs w:val="22"/>
          <w:lang w:eastAsia="en-GB"/>
        </w:rPr>
        <w:t xml:space="preserve">medical clearance </w:t>
      </w:r>
      <w:r>
        <w:rPr>
          <w:rFonts w:ascii="HelveticaNeueLT Std" w:hAnsi="HelveticaNeueLT Std"/>
          <w:sz w:val="22"/>
          <w:szCs w:val="22"/>
          <w:lang w:eastAsia="en-GB"/>
        </w:rPr>
        <w:t>is obtained. This will be decided by the medical professional</w:t>
      </w:r>
      <w:r w:rsidRPr="00450E58">
        <w:rPr>
          <w:rFonts w:ascii="HelveticaNeueLT Std" w:hAnsi="HelveticaNeueLT Std"/>
          <w:sz w:val="22"/>
          <w:szCs w:val="22"/>
          <w:lang w:eastAsia="en-GB"/>
        </w:rPr>
        <w:t xml:space="preserve"> </w:t>
      </w:r>
      <w:r>
        <w:rPr>
          <w:rFonts w:ascii="HelveticaNeueLT Std" w:hAnsi="HelveticaNeueLT Std"/>
          <w:sz w:val="22"/>
          <w:szCs w:val="22"/>
          <w:lang w:eastAsia="en-GB"/>
        </w:rPr>
        <w:t>who should provide a</w:t>
      </w:r>
      <w:r w:rsidRPr="00450E58">
        <w:rPr>
          <w:rFonts w:ascii="HelveticaNeueLT Std" w:hAnsi="HelveticaNeueLT Std"/>
          <w:sz w:val="22"/>
          <w:szCs w:val="22"/>
          <w:lang w:eastAsia="en-GB"/>
        </w:rPr>
        <w:t xml:space="preserve"> </w:t>
      </w:r>
      <w:r>
        <w:rPr>
          <w:rFonts w:ascii="HelveticaNeueLT Std" w:hAnsi="HelveticaNeueLT Std"/>
          <w:sz w:val="22"/>
          <w:szCs w:val="22"/>
          <w:lang w:eastAsia="en-GB"/>
        </w:rPr>
        <w:t xml:space="preserve">written </w:t>
      </w:r>
      <w:r w:rsidRPr="00450E58">
        <w:rPr>
          <w:rFonts w:ascii="HelveticaNeueLT Std" w:hAnsi="HelveticaNeueLT Std"/>
          <w:sz w:val="22"/>
          <w:szCs w:val="22"/>
          <w:lang w:eastAsia="en-GB"/>
        </w:rPr>
        <w:t>medical clearance certificate</w:t>
      </w:r>
      <w:r>
        <w:rPr>
          <w:rFonts w:ascii="HelveticaNeueLT Std" w:hAnsi="HelveticaNeueLT Std"/>
          <w:sz w:val="22"/>
          <w:szCs w:val="22"/>
          <w:lang w:eastAsia="en-GB"/>
        </w:rPr>
        <w:t xml:space="preserve"> before returning to work – this should be kept in the individual’s personnel file. </w:t>
      </w:r>
    </w:p>
    <w:p w14:paraId="28F36382" w14:textId="77777777" w:rsidR="00B97662" w:rsidRPr="00D656AA" w:rsidRDefault="00B97662" w:rsidP="00B97662">
      <w:pPr>
        <w:jc w:val="both"/>
        <w:rPr>
          <w:rFonts w:ascii="HelveticaNeueLT Std" w:hAnsi="HelveticaNeueLT Std"/>
          <w:sz w:val="22"/>
          <w:szCs w:val="22"/>
          <w:lang w:eastAsia="en-GB"/>
        </w:rPr>
      </w:pPr>
    </w:p>
    <w:p w14:paraId="1C3D2DB9" w14:textId="77777777" w:rsidR="00B97662" w:rsidRPr="00D656AA" w:rsidRDefault="00B97662" w:rsidP="00B97662">
      <w:pPr>
        <w:jc w:val="both"/>
        <w:rPr>
          <w:rFonts w:ascii="HelveticaNeueLT Std" w:hAnsi="HelveticaNeueLT Std"/>
          <w:sz w:val="22"/>
          <w:szCs w:val="22"/>
          <w:lang w:eastAsia="en-GB"/>
        </w:rPr>
      </w:pPr>
      <w:r w:rsidRPr="00D850AC">
        <w:rPr>
          <w:rFonts w:ascii="HelveticaNeueLT Std" w:hAnsi="HelveticaNeueLT Std"/>
          <w:b/>
          <w:bCs/>
          <w:sz w:val="22"/>
          <w:szCs w:val="22"/>
          <w:u w:val="single"/>
          <w:lang w:eastAsia="en-GB"/>
        </w:rPr>
        <w:t>Summary information for Managers and Headteachers:</w:t>
      </w:r>
    </w:p>
    <w:p w14:paraId="720FCE39" w14:textId="77777777" w:rsidR="00B97662" w:rsidRPr="00D656AA" w:rsidRDefault="00B97662" w:rsidP="00B97662">
      <w:pPr>
        <w:jc w:val="both"/>
        <w:rPr>
          <w:rFonts w:ascii="HelveticaNeueLT Std" w:hAnsi="HelveticaNeueLT Std"/>
          <w:sz w:val="22"/>
          <w:szCs w:val="22"/>
          <w:lang w:eastAsia="en-GB"/>
        </w:rPr>
      </w:pPr>
    </w:p>
    <w:p w14:paraId="63674D80" w14:textId="77777777" w:rsidR="00B97662" w:rsidRDefault="00B97662" w:rsidP="00B97662">
      <w:pPr>
        <w:numPr>
          <w:ilvl w:val="0"/>
          <w:numId w:val="2"/>
        </w:numPr>
        <w:jc w:val="both"/>
        <w:rPr>
          <w:rFonts w:ascii="HelveticaNeueLT Std" w:hAnsi="HelveticaNeueLT Std"/>
          <w:sz w:val="22"/>
          <w:szCs w:val="22"/>
          <w:lang w:eastAsia="en-GB"/>
        </w:rPr>
      </w:pPr>
      <w:r>
        <w:rPr>
          <w:rFonts w:ascii="HelveticaNeueLT Std" w:hAnsi="HelveticaNeueLT Std"/>
          <w:sz w:val="22"/>
          <w:szCs w:val="22"/>
          <w:lang w:eastAsia="en-GB"/>
        </w:rPr>
        <w:t>The law requires you to exclude anyone from work if they have an infection that can be passed on through food and there is any likelihood of them contaminating food directly or indirectly.</w:t>
      </w:r>
    </w:p>
    <w:p w14:paraId="0D151DD1" w14:textId="77777777" w:rsidR="00B97662" w:rsidRDefault="00B97662" w:rsidP="00B97662">
      <w:pPr>
        <w:ind w:left="360"/>
        <w:jc w:val="both"/>
        <w:rPr>
          <w:rFonts w:ascii="HelveticaNeueLT Std" w:hAnsi="HelveticaNeueLT Std"/>
          <w:sz w:val="22"/>
          <w:szCs w:val="22"/>
          <w:lang w:eastAsia="en-GB"/>
        </w:rPr>
      </w:pPr>
    </w:p>
    <w:p w14:paraId="7E258721" w14:textId="77777777" w:rsidR="00B97662" w:rsidRDefault="00B97662" w:rsidP="00B97662">
      <w:pPr>
        <w:numPr>
          <w:ilvl w:val="0"/>
          <w:numId w:val="2"/>
        </w:numPr>
        <w:jc w:val="both"/>
        <w:rPr>
          <w:rFonts w:ascii="HelveticaNeueLT Std" w:hAnsi="HelveticaNeueLT Std"/>
          <w:sz w:val="22"/>
          <w:szCs w:val="22"/>
          <w:lang w:eastAsia="en-GB"/>
        </w:rPr>
      </w:pPr>
      <w:r>
        <w:rPr>
          <w:rFonts w:ascii="HelveticaNeueLT Std" w:hAnsi="HelveticaNeueLT Std"/>
          <w:sz w:val="22"/>
          <w:szCs w:val="22"/>
          <w:lang w:eastAsia="en-GB"/>
        </w:rPr>
        <w:t>This would apply to people employed as food handlers or to other staff or visitors working in areas where open food is handled.</w:t>
      </w:r>
    </w:p>
    <w:p w14:paraId="00BE03A3" w14:textId="77777777" w:rsidR="00B97662" w:rsidRDefault="00B97662" w:rsidP="00B97662">
      <w:pPr>
        <w:pStyle w:val="ListParagraph"/>
        <w:rPr>
          <w:rFonts w:ascii="HelveticaNeueLT Std" w:hAnsi="HelveticaNeueLT Std"/>
          <w:sz w:val="22"/>
          <w:szCs w:val="22"/>
          <w:lang w:eastAsia="en-GB"/>
        </w:rPr>
      </w:pPr>
    </w:p>
    <w:p w14:paraId="149E476E" w14:textId="77777777" w:rsidR="00B97662" w:rsidRDefault="00B97662" w:rsidP="00B97662">
      <w:pPr>
        <w:numPr>
          <w:ilvl w:val="0"/>
          <w:numId w:val="2"/>
        </w:numPr>
        <w:jc w:val="both"/>
        <w:rPr>
          <w:rFonts w:ascii="HelveticaNeueLT Std" w:hAnsi="HelveticaNeueLT Std"/>
          <w:sz w:val="22"/>
          <w:szCs w:val="22"/>
          <w:lang w:eastAsia="en-GB"/>
        </w:rPr>
      </w:pPr>
      <w:r>
        <w:rPr>
          <w:rFonts w:ascii="HelveticaNeueLT Std" w:hAnsi="HelveticaNeueLT Std"/>
          <w:sz w:val="22"/>
          <w:szCs w:val="22"/>
          <w:lang w:eastAsia="en-GB"/>
        </w:rPr>
        <w:t>Diarrhoea and vomiting are the main symptoms of infections that can be transmitted through food.</w:t>
      </w:r>
    </w:p>
    <w:p w14:paraId="1726F7D1" w14:textId="77777777" w:rsidR="00B97662" w:rsidRDefault="00B97662" w:rsidP="00B97662">
      <w:pPr>
        <w:ind w:left="360"/>
        <w:jc w:val="both"/>
        <w:rPr>
          <w:rFonts w:ascii="HelveticaNeueLT Std" w:hAnsi="HelveticaNeueLT Std"/>
          <w:sz w:val="22"/>
          <w:szCs w:val="22"/>
          <w:lang w:eastAsia="en-GB"/>
        </w:rPr>
      </w:pPr>
    </w:p>
    <w:p w14:paraId="4CFDDC63" w14:textId="77777777" w:rsidR="00B97662" w:rsidRDefault="00B97662" w:rsidP="00B97662">
      <w:pPr>
        <w:numPr>
          <w:ilvl w:val="0"/>
          <w:numId w:val="2"/>
        </w:numPr>
        <w:jc w:val="both"/>
        <w:rPr>
          <w:rFonts w:ascii="HelveticaNeueLT Std" w:hAnsi="HelveticaNeueLT Std"/>
          <w:sz w:val="22"/>
          <w:szCs w:val="22"/>
          <w:lang w:eastAsia="en-GB"/>
        </w:rPr>
      </w:pPr>
      <w:r>
        <w:rPr>
          <w:rFonts w:ascii="HelveticaNeueLT Std" w:hAnsi="HelveticaNeueLT Std"/>
          <w:sz w:val="22"/>
          <w:szCs w:val="22"/>
          <w:lang w:eastAsia="en-GB"/>
        </w:rPr>
        <w:t xml:space="preserve">Other symptoms can include stomach cramps or pain, </w:t>
      </w:r>
      <w:proofErr w:type="gramStart"/>
      <w:r>
        <w:rPr>
          <w:rFonts w:ascii="HelveticaNeueLT Std" w:hAnsi="HelveticaNeueLT Std"/>
          <w:sz w:val="22"/>
          <w:szCs w:val="22"/>
          <w:lang w:eastAsia="en-GB"/>
        </w:rPr>
        <w:t>nausea</w:t>
      </w:r>
      <w:proofErr w:type="gramEnd"/>
      <w:r>
        <w:rPr>
          <w:rFonts w:ascii="HelveticaNeueLT Std" w:hAnsi="HelveticaNeueLT Std"/>
          <w:sz w:val="22"/>
          <w:szCs w:val="22"/>
          <w:lang w:eastAsia="en-GB"/>
        </w:rPr>
        <w:t xml:space="preserve"> and fever. Skin infections are also a problem too.</w:t>
      </w:r>
    </w:p>
    <w:p w14:paraId="41FCA0C9" w14:textId="77777777" w:rsidR="00B97662" w:rsidRDefault="00B97662" w:rsidP="00B97662">
      <w:pPr>
        <w:pStyle w:val="ListParagraph"/>
        <w:rPr>
          <w:rFonts w:ascii="HelveticaNeueLT Std" w:hAnsi="HelveticaNeueLT Std"/>
          <w:sz w:val="22"/>
          <w:szCs w:val="22"/>
          <w:lang w:eastAsia="en-GB"/>
        </w:rPr>
      </w:pPr>
    </w:p>
    <w:p w14:paraId="13B126E0" w14:textId="77777777" w:rsidR="00B97662" w:rsidRDefault="00B97662" w:rsidP="00B97662">
      <w:pPr>
        <w:numPr>
          <w:ilvl w:val="0"/>
          <w:numId w:val="2"/>
        </w:numPr>
        <w:jc w:val="both"/>
        <w:rPr>
          <w:rFonts w:ascii="HelveticaNeueLT Std" w:hAnsi="HelveticaNeueLT Std"/>
          <w:sz w:val="22"/>
          <w:szCs w:val="22"/>
          <w:lang w:eastAsia="en-GB"/>
        </w:rPr>
      </w:pPr>
      <w:r>
        <w:rPr>
          <w:rFonts w:ascii="HelveticaNeueLT Std" w:hAnsi="HelveticaNeueLT Std"/>
          <w:sz w:val="22"/>
          <w:szCs w:val="22"/>
          <w:lang w:eastAsia="en-GB"/>
        </w:rPr>
        <w:t>This is because some infections, mainly from bacteria and viruses, can spread in faeces and vomit. This can contaminate infected persons’ hands when they have diarrhoea or vomiting. Vomiting can also spread it directly. If an infected person contaminates food or food contact surfaces, in many cases the infection can spread to people who eat the food.</w:t>
      </w:r>
    </w:p>
    <w:p w14:paraId="0E2D096A" w14:textId="77777777" w:rsidR="00B97662" w:rsidRDefault="00B97662" w:rsidP="00B97662">
      <w:pPr>
        <w:jc w:val="both"/>
        <w:rPr>
          <w:rFonts w:ascii="HelveticaNeueLT Std" w:hAnsi="HelveticaNeueLT Std"/>
          <w:sz w:val="22"/>
          <w:szCs w:val="22"/>
          <w:lang w:eastAsia="en-GB"/>
        </w:rPr>
      </w:pPr>
    </w:p>
    <w:p w14:paraId="70CED729" w14:textId="77777777" w:rsidR="00B97662" w:rsidRPr="00D850AC" w:rsidRDefault="00B97662" w:rsidP="00B97662">
      <w:pPr>
        <w:jc w:val="both"/>
        <w:rPr>
          <w:rFonts w:ascii="HelveticaNeueLT Std" w:hAnsi="HelveticaNeueLT Std"/>
          <w:b/>
          <w:bCs/>
          <w:sz w:val="22"/>
          <w:szCs w:val="22"/>
          <w:lang w:eastAsia="en-GB"/>
        </w:rPr>
      </w:pPr>
      <w:r w:rsidRPr="00D850AC">
        <w:rPr>
          <w:rFonts w:ascii="HelveticaNeueLT Std" w:hAnsi="HelveticaNeueLT Std"/>
          <w:b/>
          <w:bCs/>
          <w:sz w:val="22"/>
          <w:szCs w:val="22"/>
          <w:lang w:eastAsia="en-GB"/>
        </w:rPr>
        <w:t>Action to take:</w:t>
      </w:r>
    </w:p>
    <w:p w14:paraId="4A212DD0" w14:textId="77777777" w:rsidR="00B97662" w:rsidRDefault="00B97662" w:rsidP="00B97662">
      <w:pPr>
        <w:ind w:left="3600" w:hanging="3600"/>
        <w:jc w:val="both"/>
        <w:rPr>
          <w:rFonts w:ascii="HelveticaNeueLT Std" w:hAnsi="HelveticaNeueLT Std"/>
          <w:sz w:val="22"/>
          <w:szCs w:val="22"/>
          <w:lang w:eastAsia="en-GB"/>
        </w:rPr>
      </w:pPr>
    </w:p>
    <w:p w14:paraId="75E77062" w14:textId="77777777" w:rsidR="00B97662" w:rsidRDefault="00B97662" w:rsidP="00B97662">
      <w:pPr>
        <w:numPr>
          <w:ilvl w:val="0"/>
          <w:numId w:val="3"/>
        </w:numPr>
        <w:jc w:val="both"/>
        <w:rPr>
          <w:rFonts w:ascii="HelveticaNeueLT Std" w:hAnsi="HelveticaNeueLT Std"/>
          <w:sz w:val="22"/>
          <w:szCs w:val="22"/>
          <w:lang w:eastAsia="en-GB"/>
        </w:rPr>
      </w:pPr>
      <w:r w:rsidRPr="00701BCC">
        <w:rPr>
          <w:rFonts w:ascii="HelveticaNeueLT Std" w:hAnsi="HelveticaNeueLT Std"/>
          <w:sz w:val="22"/>
          <w:szCs w:val="22"/>
          <w:lang w:eastAsia="en-GB"/>
        </w:rPr>
        <w:t xml:space="preserve">Ensure that all staff handling food and anyone working in a food handling area  knows  to  report  the  symptoms  of  infection  and  if  they  have  close  contact with someone with these symptoms. </w:t>
      </w:r>
    </w:p>
    <w:p w14:paraId="4ACF480D" w14:textId="77777777" w:rsidR="00B97662" w:rsidRDefault="00B97662" w:rsidP="00B97662">
      <w:pPr>
        <w:numPr>
          <w:ilvl w:val="0"/>
          <w:numId w:val="3"/>
        </w:numPr>
        <w:jc w:val="both"/>
        <w:rPr>
          <w:rFonts w:ascii="HelveticaNeueLT Std" w:hAnsi="HelveticaNeueLT Std"/>
          <w:sz w:val="22"/>
          <w:szCs w:val="22"/>
          <w:lang w:eastAsia="en-GB"/>
        </w:rPr>
      </w:pPr>
      <w:r w:rsidRPr="00701BCC">
        <w:rPr>
          <w:rFonts w:ascii="HelveticaNeueLT Std" w:hAnsi="HelveticaNeueLT Std"/>
          <w:sz w:val="22"/>
          <w:szCs w:val="22"/>
          <w:lang w:eastAsia="en-GB"/>
        </w:rPr>
        <w:t>Exclude staff with these symptoms from working with or around open food.</w:t>
      </w:r>
    </w:p>
    <w:p w14:paraId="0D0BFCA8" w14:textId="77777777" w:rsidR="00B97662" w:rsidRDefault="00B97662" w:rsidP="00B97662">
      <w:pPr>
        <w:ind w:left="360"/>
        <w:jc w:val="both"/>
        <w:rPr>
          <w:rFonts w:ascii="HelveticaNeueLT Std" w:hAnsi="HelveticaNeueLT Std"/>
          <w:sz w:val="22"/>
          <w:szCs w:val="22"/>
          <w:lang w:eastAsia="en-GB"/>
        </w:rPr>
      </w:pPr>
    </w:p>
    <w:p w14:paraId="1FE87C05" w14:textId="77777777" w:rsidR="00B97662" w:rsidRDefault="00B97662" w:rsidP="00B97662">
      <w:pPr>
        <w:jc w:val="both"/>
        <w:rPr>
          <w:rFonts w:ascii="HelveticaNeueLT Std" w:hAnsi="HelveticaNeueLT Std"/>
          <w:b/>
          <w:bCs/>
          <w:sz w:val="22"/>
          <w:szCs w:val="22"/>
          <w:u w:val="single"/>
          <w:lang w:eastAsia="en-GB"/>
        </w:rPr>
      </w:pPr>
      <w:r>
        <w:rPr>
          <w:rFonts w:ascii="HelveticaNeueLT Std" w:hAnsi="HelveticaNeueLT Std"/>
          <w:b/>
          <w:bCs/>
          <w:sz w:val="22"/>
          <w:szCs w:val="22"/>
          <w:u w:val="single"/>
          <w:lang w:eastAsia="en-GB"/>
        </w:rPr>
        <w:t>Returning to work:</w:t>
      </w:r>
    </w:p>
    <w:p w14:paraId="34EA8E21" w14:textId="77777777" w:rsidR="00B97662" w:rsidRDefault="00B97662" w:rsidP="00B97662">
      <w:pPr>
        <w:jc w:val="both"/>
        <w:rPr>
          <w:rFonts w:ascii="HelveticaNeueLT Std" w:hAnsi="HelveticaNeueLT Std"/>
          <w:b/>
          <w:bCs/>
          <w:sz w:val="22"/>
          <w:szCs w:val="22"/>
          <w:u w:val="single"/>
          <w:lang w:eastAsia="en-GB"/>
        </w:rPr>
      </w:pPr>
    </w:p>
    <w:p w14:paraId="255B5850" w14:textId="77777777" w:rsidR="00B97662" w:rsidRDefault="00B97662" w:rsidP="00B97662">
      <w:pPr>
        <w:numPr>
          <w:ilvl w:val="0"/>
          <w:numId w:val="4"/>
        </w:numPr>
        <w:jc w:val="both"/>
        <w:rPr>
          <w:rFonts w:ascii="HelveticaNeueLT Std" w:hAnsi="HelveticaNeueLT Std"/>
          <w:sz w:val="22"/>
          <w:szCs w:val="22"/>
          <w:lang w:eastAsia="en-GB"/>
        </w:rPr>
      </w:pPr>
      <w:r w:rsidRPr="00701BCC">
        <w:rPr>
          <w:rFonts w:ascii="HelveticaNeueLT Std" w:hAnsi="HelveticaNeueLT Std"/>
          <w:sz w:val="22"/>
          <w:szCs w:val="22"/>
          <w:lang w:eastAsia="en-GB"/>
        </w:rPr>
        <w:t>The  exclusion  period  is  normally  48  hours  from  when  symptoms  stop  naturally. Different action is required in special cases</w:t>
      </w:r>
      <w:r>
        <w:rPr>
          <w:rFonts w:ascii="HelveticaNeueLT Std" w:hAnsi="HelveticaNeueLT Std"/>
          <w:sz w:val="22"/>
          <w:szCs w:val="22"/>
          <w:lang w:eastAsia="en-GB"/>
        </w:rPr>
        <w:t xml:space="preserve"> – please refer to Section 6 for action to take.</w:t>
      </w:r>
      <w:r w:rsidRPr="00701BCC">
        <w:rPr>
          <w:rFonts w:ascii="HelveticaNeueLT Std" w:hAnsi="HelveticaNeueLT Std"/>
          <w:sz w:val="22"/>
          <w:szCs w:val="22"/>
          <w:lang w:eastAsia="en-GB"/>
        </w:rPr>
        <w:t xml:space="preserve"> </w:t>
      </w:r>
    </w:p>
    <w:p w14:paraId="3C57C41D" w14:textId="77777777" w:rsidR="00B97662" w:rsidRDefault="00B97662" w:rsidP="00B97662">
      <w:pPr>
        <w:numPr>
          <w:ilvl w:val="0"/>
          <w:numId w:val="4"/>
        </w:numPr>
        <w:jc w:val="both"/>
        <w:rPr>
          <w:rFonts w:ascii="HelveticaNeueLT Std" w:hAnsi="HelveticaNeueLT Std"/>
          <w:sz w:val="22"/>
          <w:szCs w:val="22"/>
          <w:lang w:eastAsia="en-GB"/>
        </w:rPr>
      </w:pPr>
      <w:r w:rsidRPr="00701BCC">
        <w:rPr>
          <w:rFonts w:ascii="HelveticaNeueLT Std" w:hAnsi="HelveticaNeueLT Std"/>
          <w:sz w:val="22"/>
          <w:szCs w:val="22"/>
          <w:lang w:eastAsia="en-GB"/>
        </w:rPr>
        <w:t>When  excluded  staff  return  to  work</w:t>
      </w:r>
      <w:r>
        <w:rPr>
          <w:rFonts w:ascii="HelveticaNeueLT Std" w:hAnsi="HelveticaNeueLT Std"/>
          <w:sz w:val="22"/>
          <w:szCs w:val="22"/>
          <w:lang w:eastAsia="en-GB"/>
        </w:rPr>
        <w:t>,</w:t>
      </w:r>
      <w:r w:rsidRPr="00701BCC">
        <w:rPr>
          <w:rFonts w:ascii="HelveticaNeueLT Std" w:hAnsi="HelveticaNeueLT Std"/>
          <w:sz w:val="22"/>
          <w:szCs w:val="22"/>
          <w:lang w:eastAsia="en-GB"/>
        </w:rPr>
        <w:t xml:space="preserve">  ensure  that  they  take  extra  hygiene  precautions, particularly hand washing. </w:t>
      </w:r>
    </w:p>
    <w:p w14:paraId="0E0B5837" w14:textId="77777777" w:rsidR="00B97662" w:rsidRDefault="00B97662" w:rsidP="00B97662">
      <w:pPr>
        <w:numPr>
          <w:ilvl w:val="0"/>
          <w:numId w:val="4"/>
        </w:numPr>
        <w:jc w:val="both"/>
        <w:rPr>
          <w:rFonts w:ascii="HelveticaNeueLT Std" w:hAnsi="HelveticaNeueLT Std"/>
          <w:sz w:val="22"/>
          <w:szCs w:val="22"/>
          <w:lang w:eastAsia="en-GB"/>
        </w:rPr>
      </w:pPr>
      <w:r w:rsidRPr="00701BCC">
        <w:rPr>
          <w:rFonts w:ascii="HelveticaNeueLT Std" w:hAnsi="HelveticaNeueLT Std"/>
          <w:sz w:val="22"/>
          <w:szCs w:val="22"/>
          <w:lang w:eastAsia="en-GB"/>
        </w:rPr>
        <w:lastRenderedPageBreak/>
        <w:t>Not  all  cases  of  diarrhoea  or  vomiting   are   infectious,   e.g.   morning   sickness, so exclusion is not always needed.</w:t>
      </w:r>
    </w:p>
    <w:p w14:paraId="6443FAFD" w14:textId="77777777" w:rsidR="00B97662" w:rsidRDefault="00B97662" w:rsidP="00B97662">
      <w:pPr>
        <w:jc w:val="both"/>
        <w:rPr>
          <w:rFonts w:ascii="HelveticaNeueLT Std" w:hAnsi="HelveticaNeueLT Std"/>
          <w:sz w:val="22"/>
          <w:szCs w:val="22"/>
          <w:lang w:eastAsia="en-GB"/>
        </w:rPr>
      </w:pPr>
    </w:p>
    <w:p w14:paraId="1F00A0EA" w14:textId="77777777" w:rsidR="00B97662" w:rsidRDefault="00B97662" w:rsidP="00B97662">
      <w:pPr>
        <w:jc w:val="both"/>
        <w:rPr>
          <w:rFonts w:ascii="HelveticaNeueLT Std" w:hAnsi="HelveticaNeueLT Std"/>
          <w:b/>
          <w:bCs/>
          <w:sz w:val="22"/>
          <w:szCs w:val="22"/>
          <w:u w:val="single"/>
          <w:lang w:eastAsia="en-GB"/>
        </w:rPr>
      </w:pPr>
      <w:r>
        <w:rPr>
          <w:rFonts w:ascii="HelveticaNeueLT Std" w:hAnsi="HelveticaNeueLT Std"/>
          <w:b/>
          <w:bCs/>
          <w:sz w:val="22"/>
          <w:szCs w:val="22"/>
          <w:u w:val="single"/>
          <w:lang w:eastAsia="en-GB"/>
        </w:rPr>
        <w:t>Other facts:</w:t>
      </w:r>
    </w:p>
    <w:p w14:paraId="762A0526" w14:textId="77777777" w:rsidR="00B97662" w:rsidRDefault="00B97662" w:rsidP="00B97662">
      <w:pPr>
        <w:jc w:val="both"/>
        <w:rPr>
          <w:rFonts w:ascii="HelveticaNeueLT Std" w:hAnsi="HelveticaNeueLT Std"/>
          <w:b/>
          <w:bCs/>
          <w:sz w:val="22"/>
          <w:szCs w:val="22"/>
          <w:u w:val="single"/>
          <w:lang w:eastAsia="en-GB"/>
        </w:rPr>
      </w:pPr>
    </w:p>
    <w:p w14:paraId="45148255" w14:textId="77777777" w:rsidR="00B97662" w:rsidRDefault="00B97662" w:rsidP="00B97662">
      <w:pPr>
        <w:numPr>
          <w:ilvl w:val="0"/>
          <w:numId w:val="5"/>
        </w:numPr>
        <w:jc w:val="both"/>
        <w:rPr>
          <w:rFonts w:ascii="HelveticaNeueLT Std" w:hAnsi="HelveticaNeueLT Std"/>
          <w:sz w:val="22"/>
          <w:szCs w:val="22"/>
          <w:lang w:eastAsia="en-GB"/>
        </w:rPr>
      </w:pPr>
      <w:r w:rsidRPr="00701BCC">
        <w:rPr>
          <w:rFonts w:ascii="HelveticaNeueLT Std" w:hAnsi="HelveticaNeueLT Std"/>
          <w:sz w:val="22"/>
          <w:szCs w:val="22"/>
          <w:lang w:eastAsia="en-GB"/>
        </w:rPr>
        <w:t xml:space="preserve">People  can  have  infections  without  symptoms, so  it  is  important  that  </w:t>
      </w:r>
      <w:r>
        <w:rPr>
          <w:rFonts w:ascii="HelveticaNeueLT Std" w:hAnsi="HelveticaNeueLT Std"/>
          <w:sz w:val="22"/>
          <w:szCs w:val="22"/>
          <w:lang w:eastAsia="en-GB"/>
        </w:rPr>
        <w:t>M</w:t>
      </w:r>
      <w:r w:rsidRPr="00701BCC">
        <w:rPr>
          <w:rFonts w:ascii="HelveticaNeueLT Std" w:hAnsi="HelveticaNeueLT Std"/>
          <w:sz w:val="22"/>
          <w:szCs w:val="22"/>
          <w:lang w:eastAsia="en-GB"/>
        </w:rPr>
        <w:t>anagers</w:t>
      </w:r>
      <w:r>
        <w:rPr>
          <w:rFonts w:ascii="HelveticaNeueLT Std" w:hAnsi="HelveticaNeueLT Std"/>
          <w:sz w:val="22"/>
          <w:szCs w:val="22"/>
          <w:lang w:eastAsia="en-GB"/>
        </w:rPr>
        <w:t>/Headteachers</w:t>
      </w:r>
      <w:r w:rsidRPr="00701BCC">
        <w:rPr>
          <w:rFonts w:ascii="HelveticaNeueLT Std" w:hAnsi="HelveticaNeueLT Std"/>
          <w:sz w:val="22"/>
          <w:szCs w:val="22"/>
          <w:lang w:eastAsia="en-GB"/>
        </w:rPr>
        <w:t xml:space="preserve">  try  to  ensure  that  everyone  washes  and  dries  their  hands  regularly at work, especially after using the toilet. </w:t>
      </w:r>
    </w:p>
    <w:p w14:paraId="3ED8D6B6" w14:textId="77777777" w:rsidR="00B97662" w:rsidRDefault="00B97662" w:rsidP="00B97662">
      <w:pPr>
        <w:numPr>
          <w:ilvl w:val="0"/>
          <w:numId w:val="5"/>
        </w:numPr>
        <w:jc w:val="both"/>
        <w:rPr>
          <w:rFonts w:ascii="HelveticaNeueLT Std" w:hAnsi="HelveticaNeueLT Std"/>
          <w:sz w:val="22"/>
          <w:szCs w:val="22"/>
          <w:lang w:eastAsia="en-GB"/>
        </w:rPr>
      </w:pPr>
      <w:r w:rsidRPr="00701BCC">
        <w:rPr>
          <w:rFonts w:ascii="HelveticaNeueLT Std" w:hAnsi="HelveticaNeueLT Std"/>
          <w:sz w:val="22"/>
          <w:szCs w:val="22"/>
          <w:lang w:eastAsia="en-GB"/>
        </w:rPr>
        <w:t>Managers</w:t>
      </w:r>
      <w:r>
        <w:rPr>
          <w:rFonts w:ascii="HelveticaNeueLT Std" w:hAnsi="HelveticaNeueLT Std"/>
          <w:sz w:val="22"/>
          <w:szCs w:val="22"/>
          <w:lang w:eastAsia="en-GB"/>
        </w:rPr>
        <w:t>/headteachers</w:t>
      </w:r>
      <w:r w:rsidRPr="00701BCC">
        <w:rPr>
          <w:rFonts w:ascii="HelveticaNeueLT Std" w:hAnsi="HelveticaNeueLT Std"/>
          <w:sz w:val="22"/>
          <w:szCs w:val="22"/>
          <w:lang w:eastAsia="en-GB"/>
        </w:rPr>
        <w:t xml:space="preserve">  should  assess  the  risk  to  food  safety  of  anyone  found  to  have  been   working   with   or   around   food   whilst   infectious   and   take   the   appropriate action to ensure that unsafe food is not released. </w:t>
      </w:r>
    </w:p>
    <w:p w14:paraId="1FB1EA2C" w14:textId="77777777" w:rsidR="00B97662" w:rsidRPr="00701BCC" w:rsidRDefault="00B97662" w:rsidP="00B97662">
      <w:pPr>
        <w:numPr>
          <w:ilvl w:val="0"/>
          <w:numId w:val="5"/>
        </w:numPr>
        <w:jc w:val="both"/>
        <w:rPr>
          <w:rFonts w:ascii="HelveticaNeueLT Std" w:hAnsi="HelveticaNeueLT Std"/>
          <w:sz w:val="22"/>
          <w:szCs w:val="22"/>
          <w:lang w:eastAsia="en-GB"/>
        </w:rPr>
      </w:pPr>
      <w:r w:rsidRPr="00701BCC">
        <w:rPr>
          <w:rFonts w:ascii="HelveticaNeueLT Std" w:hAnsi="HelveticaNeueLT Std"/>
          <w:sz w:val="22"/>
          <w:szCs w:val="22"/>
          <w:lang w:eastAsia="en-GB"/>
        </w:rPr>
        <w:t xml:space="preserve">If you are not sure what to do in any situation, you can seek advice from </w:t>
      </w:r>
      <w:r>
        <w:rPr>
          <w:rFonts w:ascii="HelveticaNeueLT Std" w:hAnsi="HelveticaNeueLT Std"/>
          <w:sz w:val="22"/>
          <w:szCs w:val="22"/>
          <w:lang w:eastAsia="en-GB"/>
        </w:rPr>
        <w:t xml:space="preserve">the </w:t>
      </w:r>
      <w:hyperlink r:id="rId6" w:history="1">
        <w:r w:rsidRPr="001C4942">
          <w:rPr>
            <w:rStyle w:val="Hyperlink"/>
            <w:rFonts w:ascii="HelveticaNeueLT Std" w:hAnsi="HelveticaNeueLT Std"/>
            <w:sz w:val="22"/>
            <w:szCs w:val="22"/>
            <w:lang w:eastAsia="en-GB"/>
          </w:rPr>
          <w:t>Corporate Health and Safety Team</w:t>
        </w:r>
      </w:hyperlink>
      <w:r>
        <w:rPr>
          <w:rFonts w:ascii="HelveticaNeueLT Std" w:hAnsi="HelveticaNeueLT Std"/>
          <w:sz w:val="22"/>
          <w:szCs w:val="22"/>
          <w:lang w:eastAsia="en-GB"/>
        </w:rPr>
        <w:t xml:space="preserve">, the </w:t>
      </w:r>
      <w:hyperlink r:id="rId7" w:history="1">
        <w:r w:rsidRPr="001C4942">
          <w:rPr>
            <w:rStyle w:val="Hyperlink"/>
            <w:rFonts w:ascii="HelveticaNeueLT Std" w:hAnsi="HelveticaNeueLT Std"/>
            <w:sz w:val="22"/>
            <w:szCs w:val="22"/>
            <w:lang w:eastAsia="en-GB"/>
          </w:rPr>
          <w:t>Council’s Food Safety Team</w:t>
        </w:r>
      </w:hyperlink>
      <w:r>
        <w:rPr>
          <w:rFonts w:ascii="HelveticaNeueLT Std" w:hAnsi="HelveticaNeueLT Std"/>
          <w:sz w:val="22"/>
          <w:szCs w:val="22"/>
          <w:lang w:eastAsia="en-GB"/>
        </w:rPr>
        <w:t xml:space="preserve"> and/or the </w:t>
      </w:r>
      <w:hyperlink r:id="rId8" w:history="1">
        <w:r w:rsidRPr="00B9732E">
          <w:rPr>
            <w:rStyle w:val="Hyperlink"/>
            <w:rFonts w:ascii="HelveticaNeueLT Std" w:hAnsi="HelveticaNeueLT Std"/>
            <w:sz w:val="22"/>
            <w:szCs w:val="22"/>
            <w:lang w:eastAsia="en-GB"/>
          </w:rPr>
          <w:t>Occupational Health Service</w:t>
        </w:r>
      </w:hyperlink>
      <w:r>
        <w:rPr>
          <w:rFonts w:ascii="HelveticaNeueLT Std" w:hAnsi="HelveticaNeueLT Std"/>
          <w:sz w:val="22"/>
          <w:szCs w:val="22"/>
          <w:lang w:eastAsia="en-GB"/>
        </w:rPr>
        <w:t>.</w:t>
      </w:r>
    </w:p>
    <w:p w14:paraId="07715C99" w14:textId="77777777" w:rsidR="00B97662" w:rsidRDefault="00B97662" w:rsidP="00B97662">
      <w:pPr>
        <w:jc w:val="both"/>
        <w:rPr>
          <w:rFonts w:ascii="HelveticaNeueLT Std" w:hAnsi="HelveticaNeueLT Std"/>
          <w:sz w:val="22"/>
          <w:szCs w:val="22"/>
          <w:lang w:eastAsia="en-GB"/>
        </w:rPr>
      </w:pPr>
    </w:p>
    <w:p w14:paraId="22FA1F6B" w14:textId="77777777" w:rsidR="00B97662" w:rsidRDefault="00B97662" w:rsidP="00B97662">
      <w:pPr>
        <w:jc w:val="both"/>
        <w:rPr>
          <w:rFonts w:ascii="HelveticaNeueLT Std" w:hAnsi="HelveticaNeueLT Std"/>
          <w:sz w:val="22"/>
          <w:szCs w:val="22"/>
          <w:lang w:eastAsia="en-GB"/>
        </w:rPr>
      </w:pPr>
    </w:p>
    <w:p w14:paraId="70940A6F" w14:textId="77777777" w:rsidR="00B97662" w:rsidRPr="00D656AA" w:rsidRDefault="00B97662" w:rsidP="00B97662">
      <w:pPr>
        <w:jc w:val="both"/>
        <w:rPr>
          <w:rFonts w:ascii="HelveticaNeueLT Std" w:hAnsi="HelveticaNeueLT Std"/>
          <w:sz w:val="22"/>
          <w:szCs w:val="22"/>
          <w:lang w:eastAsia="en-GB"/>
        </w:rPr>
      </w:pPr>
    </w:p>
    <w:p w14:paraId="7A6137DC" w14:textId="77777777" w:rsidR="00B97662" w:rsidRPr="001C3616" w:rsidRDefault="00B97662" w:rsidP="00B97662">
      <w:pPr>
        <w:rPr>
          <w:rFonts w:ascii="HelveticaNeueLT Std" w:hAnsi="HelveticaNeueLT Std"/>
          <w:b/>
          <w:sz w:val="22"/>
          <w:szCs w:val="22"/>
          <w:u w:val="single"/>
          <w:lang w:eastAsia="en-GB"/>
        </w:rPr>
      </w:pPr>
      <w:r w:rsidRPr="001C3616">
        <w:rPr>
          <w:rFonts w:ascii="HelveticaNeueLT Std" w:hAnsi="HelveticaNeueLT Std"/>
          <w:b/>
          <w:sz w:val="22"/>
          <w:szCs w:val="22"/>
          <w:u w:val="single"/>
          <w:lang w:eastAsia="en-GB"/>
        </w:rPr>
        <w:t xml:space="preserve">Protocol </w:t>
      </w:r>
      <w:proofErr w:type="gramStart"/>
      <w:r w:rsidRPr="001C3616">
        <w:rPr>
          <w:rFonts w:ascii="HelveticaNeueLT Std" w:hAnsi="HelveticaNeueLT Std"/>
          <w:b/>
          <w:sz w:val="22"/>
          <w:szCs w:val="22"/>
          <w:u w:val="single"/>
          <w:lang w:eastAsia="en-GB"/>
        </w:rPr>
        <w:t>For</w:t>
      </w:r>
      <w:proofErr w:type="gramEnd"/>
      <w:r w:rsidRPr="001C3616">
        <w:rPr>
          <w:rFonts w:ascii="HelveticaNeueLT Std" w:hAnsi="HelveticaNeueLT Std"/>
          <w:b/>
          <w:sz w:val="22"/>
          <w:szCs w:val="22"/>
          <w:u w:val="single"/>
          <w:lang w:eastAsia="en-GB"/>
        </w:rPr>
        <w:t xml:space="preserve"> Assessing Fitness To Work As A Food Handler</w:t>
      </w:r>
    </w:p>
    <w:p w14:paraId="7EA8F6B8" w14:textId="77777777" w:rsidR="00B97662" w:rsidRPr="00D656AA" w:rsidRDefault="00B97662" w:rsidP="00B97662">
      <w:pPr>
        <w:jc w:val="center"/>
        <w:rPr>
          <w:rFonts w:ascii="HelveticaNeueLT Std" w:hAnsi="HelveticaNeueLT Std"/>
          <w:b/>
          <w:sz w:val="24"/>
          <w:szCs w:val="24"/>
          <w:u w:val="single"/>
          <w:lang w:eastAsia="en-GB"/>
        </w:rPr>
      </w:pPr>
    </w:p>
    <w:p w14:paraId="330DDE2A" w14:textId="77777777" w:rsidR="00B97662" w:rsidRDefault="00B97662" w:rsidP="00B97662">
      <w:pPr>
        <w:numPr>
          <w:ilvl w:val="0"/>
          <w:numId w:val="6"/>
        </w:numPr>
        <w:jc w:val="both"/>
        <w:rPr>
          <w:rFonts w:ascii="HelveticaNeueLT Std" w:hAnsi="HelveticaNeueLT Std"/>
          <w:sz w:val="22"/>
          <w:szCs w:val="22"/>
          <w:lang w:eastAsia="en-GB"/>
        </w:rPr>
      </w:pPr>
      <w:r>
        <w:rPr>
          <w:rFonts w:ascii="HelveticaNeueLT Std" w:hAnsi="HelveticaNeueLT Std"/>
          <w:sz w:val="22"/>
          <w:szCs w:val="22"/>
          <w:lang w:eastAsia="en-GB"/>
        </w:rPr>
        <w:t xml:space="preserve">The Manager/Headteacher must ensure that the ‘Food Handlers Pre-placement/Visitor/Returning from abroad’ questionnaire (Appendix 1 </w:t>
      </w:r>
      <w:r w:rsidRPr="00B2723C">
        <w:rPr>
          <w:rFonts w:ascii="HelveticaNeueLT Std" w:hAnsi="HelveticaNeueLT Std"/>
          <w:sz w:val="22"/>
          <w:szCs w:val="22"/>
          <w:lang w:eastAsia="en-GB"/>
        </w:rPr>
        <w:t>in the Food Handlers: Fitness to Work Procedure</w:t>
      </w:r>
      <w:r>
        <w:rPr>
          <w:rFonts w:ascii="HelveticaNeueLT Std" w:hAnsi="HelveticaNeueLT Std"/>
          <w:sz w:val="22"/>
          <w:szCs w:val="22"/>
          <w:lang w:eastAsia="en-GB"/>
        </w:rPr>
        <w:t>) is completed for:</w:t>
      </w:r>
    </w:p>
    <w:p w14:paraId="3610CBB2" w14:textId="77777777" w:rsidR="00B97662" w:rsidRDefault="00B97662" w:rsidP="00B97662">
      <w:pPr>
        <w:ind w:left="360"/>
        <w:jc w:val="both"/>
        <w:rPr>
          <w:rFonts w:ascii="HelveticaNeueLT Std" w:hAnsi="HelveticaNeueLT Std"/>
          <w:sz w:val="22"/>
          <w:szCs w:val="22"/>
          <w:lang w:eastAsia="en-GB"/>
        </w:rPr>
      </w:pPr>
    </w:p>
    <w:p w14:paraId="3D634EB8" w14:textId="77777777" w:rsidR="00B97662" w:rsidRDefault="00B97662" w:rsidP="00B97662">
      <w:pPr>
        <w:numPr>
          <w:ilvl w:val="0"/>
          <w:numId w:val="1"/>
        </w:numPr>
        <w:jc w:val="both"/>
        <w:rPr>
          <w:rFonts w:ascii="HelveticaNeueLT Std" w:hAnsi="HelveticaNeueLT Std"/>
          <w:sz w:val="22"/>
          <w:szCs w:val="22"/>
          <w:lang w:eastAsia="en-GB"/>
        </w:rPr>
      </w:pPr>
      <w:r>
        <w:rPr>
          <w:rFonts w:ascii="HelveticaNeueLT Std" w:hAnsi="HelveticaNeueLT Std"/>
          <w:sz w:val="22"/>
          <w:szCs w:val="22"/>
          <w:lang w:eastAsia="en-GB"/>
        </w:rPr>
        <w:t>I</w:t>
      </w:r>
      <w:r w:rsidRPr="00D656AA">
        <w:rPr>
          <w:rFonts w:ascii="HelveticaNeueLT Std" w:hAnsi="HelveticaNeueLT Std"/>
          <w:sz w:val="22"/>
          <w:szCs w:val="22"/>
          <w:lang w:eastAsia="en-GB"/>
        </w:rPr>
        <w:t xml:space="preserve">ndividuals being considered for </w:t>
      </w:r>
      <w:r>
        <w:rPr>
          <w:rFonts w:ascii="HelveticaNeueLT Std" w:hAnsi="HelveticaNeueLT Std"/>
          <w:sz w:val="22"/>
          <w:szCs w:val="22"/>
          <w:lang w:eastAsia="en-GB"/>
        </w:rPr>
        <w:t>f</w:t>
      </w:r>
      <w:r w:rsidRPr="00D656AA">
        <w:rPr>
          <w:rFonts w:ascii="HelveticaNeueLT Std" w:hAnsi="HelveticaNeueLT Std"/>
          <w:sz w:val="22"/>
          <w:szCs w:val="22"/>
          <w:lang w:eastAsia="en-GB"/>
        </w:rPr>
        <w:t xml:space="preserve">ood </w:t>
      </w:r>
      <w:r>
        <w:rPr>
          <w:rFonts w:ascii="HelveticaNeueLT Std" w:hAnsi="HelveticaNeueLT Std"/>
          <w:sz w:val="22"/>
          <w:szCs w:val="22"/>
          <w:lang w:eastAsia="en-GB"/>
        </w:rPr>
        <w:t>h</w:t>
      </w:r>
      <w:r w:rsidRPr="00D656AA">
        <w:rPr>
          <w:rFonts w:ascii="HelveticaNeueLT Std" w:hAnsi="HelveticaNeueLT Std"/>
          <w:sz w:val="22"/>
          <w:szCs w:val="22"/>
          <w:lang w:eastAsia="en-GB"/>
        </w:rPr>
        <w:t xml:space="preserve">andling work, whether new employees or transfers from other roles, </w:t>
      </w:r>
    </w:p>
    <w:p w14:paraId="25CFC7A1" w14:textId="77777777" w:rsidR="00B97662" w:rsidRDefault="00B97662" w:rsidP="00B97662">
      <w:pPr>
        <w:numPr>
          <w:ilvl w:val="0"/>
          <w:numId w:val="1"/>
        </w:numPr>
        <w:jc w:val="both"/>
        <w:rPr>
          <w:rFonts w:ascii="HelveticaNeueLT Std" w:hAnsi="HelveticaNeueLT Std"/>
          <w:sz w:val="22"/>
          <w:szCs w:val="22"/>
          <w:lang w:eastAsia="en-GB"/>
        </w:rPr>
      </w:pPr>
      <w:r>
        <w:rPr>
          <w:rFonts w:ascii="HelveticaNeueLT Std" w:hAnsi="HelveticaNeueLT Std"/>
          <w:sz w:val="22"/>
          <w:szCs w:val="22"/>
          <w:lang w:eastAsia="en-GB"/>
        </w:rPr>
        <w:t>Visitors working in or around areas where open food is handled, including maintenance staff and contractors, and</w:t>
      </w:r>
    </w:p>
    <w:p w14:paraId="2F2A3CB6" w14:textId="77777777" w:rsidR="00B97662" w:rsidRDefault="00B97662" w:rsidP="00B97662">
      <w:pPr>
        <w:numPr>
          <w:ilvl w:val="0"/>
          <w:numId w:val="1"/>
        </w:numPr>
        <w:jc w:val="both"/>
        <w:rPr>
          <w:rFonts w:ascii="HelveticaNeueLT Std" w:hAnsi="HelveticaNeueLT Std"/>
          <w:sz w:val="22"/>
          <w:szCs w:val="22"/>
          <w:lang w:eastAsia="en-GB"/>
        </w:rPr>
      </w:pPr>
      <w:r>
        <w:rPr>
          <w:rFonts w:ascii="HelveticaNeueLT Std" w:hAnsi="HelveticaNeueLT Std"/>
          <w:sz w:val="22"/>
          <w:szCs w:val="22"/>
          <w:lang w:eastAsia="en-GB"/>
        </w:rPr>
        <w:t>Staff returning from abroad</w:t>
      </w:r>
    </w:p>
    <w:p w14:paraId="0267E810" w14:textId="77777777" w:rsidR="00B97662" w:rsidRDefault="00B97662" w:rsidP="00B97662">
      <w:pPr>
        <w:ind w:left="720"/>
        <w:jc w:val="both"/>
        <w:rPr>
          <w:rFonts w:ascii="HelveticaNeueLT Std" w:hAnsi="HelveticaNeueLT Std"/>
          <w:sz w:val="22"/>
          <w:szCs w:val="22"/>
          <w:lang w:eastAsia="en-GB"/>
        </w:rPr>
      </w:pPr>
    </w:p>
    <w:p w14:paraId="673E6E66" w14:textId="77777777" w:rsidR="00B97662" w:rsidRPr="00D656AA" w:rsidRDefault="00B97662" w:rsidP="00B97662">
      <w:pPr>
        <w:jc w:val="both"/>
        <w:rPr>
          <w:rFonts w:ascii="HelveticaNeueLT Std" w:hAnsi="HelveticaNeueLT Std"/>
          <w:sz w:val="22"/>
          <w:szCs w:val="22"/>
          <w:lang w:eastAsia="en-GB"/>
        </w:rPr>
      </w:pPr>
    </w:p>
    <w:p w14:paraId="611E2EEC" w14:textId="77777777" w:rsidR="00B97662" w:rsidRPr="00D656AA" w:rsidRDefault="00B97662" w:rsidP="00B97662">
      <w:pPr>
        <w:ind w:left="360"/>
        <w:jc w:val="both"/>
        <w:rPr>
          <w:rFonts w:ascii="HelveticaNeueLT Std" w:hAnsi="HelveticaNeueLT Std"/>
          <w:sz w:val="22"/>
          <w:szCs w:val="22"/>
          <w:lang w:eastAsia="en-GB"/>
        </w:rPr>
      </w:pPr>
      <w:r>
        <w:rPr>
          <w:rFonts w:ascii="HelveticaNeueLT Std" w:hAnsi="HelveticaNeueLT Std"/>
          <w:sz w:val="22"/>
          <w:szCs w:val="22"/>
          <w:lang w:eastAsia="en-GB"/>
        </w:rPr>
        <w:t>Completed q</w:t>
      </w:r>
      <w:r w:rsidRPr="00D656AA">
        <w:rPr>
          <w:rFonts w:ascii="HelveticaNeueLT Std" w:hAnsi="HelveticaNeueLT Std"/>
          <w:sz w:val="22"/>
          <w:szCs w:val="22"/>
          <w:lang w:eastAsia="en-GB"/>
        </w:rPr>
        <w:t xml:space="preserve">uestionnaires are then assessed by the </w:t>
      </w:r>
      <w:r>
        <w:rPr>
          <w:rFonts w:ascii="HelveticaNeueLT Std" w:hAnsi="HelveticaNeueLT Std"/>
          <w:sz w:val="22"/>
          <w:szCs w:val="22"/>
          <w:lang w:eastAsia="en-GB"/>
        </w:rPr>
        <w:t>Manager/Headteacher</w:t>
      </w:r>
      <w:r w:rsidRPr="00D656AA">
        <w:rPr>
          <w:rFonts w:ascii="HelveticaNeueLT Std" w:hAnsi="HelveticaNeueLT Std"/>
          <w:sz w:val="22"/>
          <w:szCs w:val="22"/>
          <w:lang w:eastAsia="en-GB"/>
        </w:rPr>
        <w:t xml:space="preserve"> </w:t>
      </w:r>
      <w:r>
        <w:rPr>
          <w:rFonts w:ascii="HelveticaNeueLT Std" w:hAnsi="HelveticaNeueLT Std"/>
          <w:sz w:val="22"/>
          <w:szCs w:val="22"/>
          <w:lang w:eastAsia="en-GB"/>
        </w:rPr>
        <w:t xml:space="preserve">and any necessary action taken </w:t>
      </w:r>
      <w:r w:rsidRPr="00D656AA">
        <w:rPr>
          <w:rFonts w:ascii="HelveticaNeueLT Std" w:hAnsi="HelveticaNeueLT Std"/>
          <w:sz w:val="22"/>
          <w:szCs w:val="22"/>
          <w:lang w:eastAsia="en-GB"/>
        </w:rPr>
        <w:t>prior to commencement of work</w:t>
      </w:r>
      <w:r>
        <w:rPr>
          <w:rFonts w:ascii="HelveticaNeueLT Std" w:hAnsi="HelveticaNeueLT Std"/>
          <w:sz w:val="22"/>
          <w:szCs w:val="22"/>
          <w:lang w:eastAsia="en-GB"/>
        </w:rPr>
        <w:t xml:space="preserve"> in or around a food handling area. This record is</w:t>
      </w:r>
      <w:r w:rsidRPr="006B3A06">
        <w:rPr>
          <w:rFonts w:ascii="HelveticaNeueLT Std" w:hAnsi="HelveticaNeueLT Std"/>
          <w:sz w:val="22"/>
          <w:szCs w:val="22"/>
          <w:lang w:eastAsia="en-GB"/>
        </w:rPr>
        <w:t xml:space="preserve"> retained by the Manager/Headteacher in their person</w:t>
      </w:r>
      <w:r>
        <w:rPr>
          <w:rFonts w:ascii="HelveticaNeueLT Std" w:hAnsi="HelveticaNeueLT Std"/>
          <w:sz w:val="22"/>
          <w:szCs w:val="22"/>
          <w:lang w:eastAsia="en-GB"/>
        </w:rPr>
        <w:t>ne</w:t>
      </w:r>
      <w:r w:rsidRPr="006B3A06">
        <w:rPr>
          <w:rFonts w:ascii="HelveticaNeueLT Std" w:hAnsi="HelveticaNeueLT Std"/>
          <w:sz w:val="22"/>
          <w:szCs w:val="22"/>
          <w:lang w:eastAsia="en-GB"/>
        </w:rPr>
        <w:t>l records for 6 years.</w:t>
      </w:r>
      <w:r w:rsidRPr="00D656AA">
        <w:rPr>
          <w:rFonts w:ascii="HelveticaNeueLT Std" w:hAnsi="HelveticaNeueLT Std"/>
          <w:sz w:val="22"/>
          <w:szCs w:val="22"/>
          <w:lang w:eastAsia="en-GB"/>
        </w:rPr>
        <w:t xml:space="preserve"> </w:t>
      </w:r>
    </w:p>
    <w:p w14:paraId="5DFB0BD8" w14:textId="77777777" w:rsidR="00B97662" w:rsidRPr="00D656AA" w:rsidRDefault="00B97662" w:rsidP="00B97662">
      <w:pPr>
        <w:jc w:val="both"/>
        <w:rPr>
          <w:rFonts w:ascii="HelveticaNeueLT Std" w:hAnsi="HelveticaNeueLT Std"/>
          <w:sz w:val="22"/>
          <w:szCs w:val="22"/>
          <w:lang w:eastAsia="en-GB"/>
        </w:rPr>
      </w:pPr>
    </w:p>
    <w:p w14:paraId="03023DD5" w14:textId="77777777" w:rsidR="00B97662" w:rsidRPr="00D656AA" w:rsidRDefault="00B97662" w:rsidP="00B97662">
      <w:pPr>
        <w:numPr>
          <w:ilvl w:val="0"/>
          <w:numId w:val="6"/>
        </w:numPr>
        <w:jc w:val="both"/>
        <w:rPr>
          <w:rFonts w:ascii="HelveticaNeueLT Std" w:hAnsi="HelveticaNeueLT Std"/>
          <w:sz w:val="22"/>
          <w:szCs w:val="22"/>
          <w:lang w:eastAsia="en-GB"/>
        </w:rPr>
      </w:pPr>
      <w:r w:rsidRPr="00D656AA">
        <w:rPr>
          <w:rFonts w:ascii="HelveticaNeueLT Std" w:hAnsi="HelveticaNeueLT Std"/>
          <w:sz w:val="22"/>
          <w:szCs w:val="22"/>
          <w:lang w:eastAsia="en-GB"/>
        </w:rPr>
        <w:t xml:space="preserve">Individuals considered suitable for </w:t>
      </w:r>
      <w:r>
        <w:rPr>
          <w:rFonts w:ascii="HelveticaNeueLT Std" w:hAnsi="HelveticaNeueLT Std"/>
          <w:sz w:val="22"/>
          <w:szCs w:val="22"/>
          <w:lang w:eastAsia="en-GB"/>
        </w:rPr>
        <w:t>f</w:t>
      </w:r>
      <w:r w:rsidRPr="00D656AA">
        <w:rPr>
          <w:rFonts w:ascii="HelveticaNeueLT Std" w:hAnsi="HelveticaNeueLT Std"/>
          <w:sz w:val="22"/>
          <w:szCs w:val="22"/>
          <w:lang w:eastAsia="en-GB"/>
        </w:rPr>
        <w:t xml:space="preserve">ood </w:t>
      </w:r>
      <w:r>
        <w:rPr>
          <w:rFonts w:ascii="HelveticaNeueLT Std" w:hAnsi="HelveticaNeueLT Std"/>
          <w:sz w:val="22"/>
          <w:szCs w:val="22"/>
          <w:lang w:eastAsia="en-GB"/>
        </w:rPr>
        <w:t>h</w:t>
      </w:r>
      <w:r w:rsidRPr="00D656AA">
        <w:rPr>
          <w:rFonts w:ascii="HelveticaNeueLT Std" w:hAnsi="HelveticaNeueLT Std"/>
          <w:sz w:val="22"/>
          <w:szCs w:val="22"/>
          <w:lang w:eastAsia="en-GB"/>
        </w:rPr>
        <w:t>andling work then complete a “</w:t>
      </w:r>
      <w:r>
        <w:rPr>
          <w:rFonts w:ascii="HelveticaNeueLT Std" w:hAnsi="HelveticaNeueLT Std"/>
          <w:sz w:val="22"/>
          <w:szCs w:val="22"/>
          <w:lang w:eastAsia="en-GB"/>
        </w:rPr>
        <w:t>Food Handlers Information and Declaration” Form</w:t>
      </w:r>
      <w:r w:rsidRPr="00D656AA">
        <w:rPr>
          <w:rFonts w:ascii="HelveticaNeueLT Std" w:hAnsi="HelveticaNeueLT Std"/>
          <w:sz w:val="22"/>
          <w:szCs w:val="22"/>
          <w:lang w:eastAsia="en-GB"/>
        </w:rPr>
        <w:t xml:space="preserve"> (</w:t>
      </w:r>
      <w:r>
        <w:rPr>
          <w:rFonts w:ascii="HelveticaNeueLT Std" w:hAnsi="HelveticaNeueLT Std"/>
          <w:sz w:val="22"/>
          <w:szCs w:val="22"/>
          <w:lang w:eastAsia="en-GB"/>
        </w:rPr>
        <w:t>A</w:t>
      </w:r>
      <w:r w:rsidRPr="00D656AA">
        <w:rPr>
          <w:rFonts w:ascii="HelveticaNeueLT Std" w:hAnsi="HelveticaNeueLT Std"/>
          <w:sz w:val="22"/>
          <w:szCs w:val="22"/>
          <w:lang w:eastAsia="en-GB"/>
        </w:rPr>
        <w:t xml:space="preserve">ppendix </w:t>
      </w:r>
      <w:r>
        <w:rPr>
          <w:rFonts w:ascii="HelveticaNeueLT Std" w:hAnsi="HelveticaNeueLT Std"/>
          <w:sz w:val="22"/>
          <w:szCs w:val="22"/>
          <w:lang w:eastAsia="en-GB"/>
        </w:rPr>
        <w:t>3</w:t>
      </w:r>
      <w:r w:rsidRPr="00D656AA">
        <w:rPr>
          <w:rFonts w:ascii="HelveticaNeueLT Std" w:hAnsi="HelveticaNeueLT Std"/>
          <w:sz w:val="22"/>
          <w:szCs w:val="22"/>
          <w:lang w:eastAsia="en-GB"/>
        </w:rPr>
        <w:t xml:space="preserve">) which is retained </w:t>
      </w:r>
      <w:r>
        <w:rPr>
          <w:rFonts w:ascii="HelveticaNeueLT Std" w:hAnsi="HelveticaNeueLT Std"/>
          <w:sz w:val="22"/>
          <w:szCs w:val="22"/>
          <w:lang w:eastAsia="en-GB"/>
        </w:rPr>
        <w:t xml:space="preserve">by the Manager/Headteacher </w:t>
      </w:r>
      <w:r w:rsidRPr="00D656AA">
        <w:rPr>
          <w:rFonts w:ascii="HelveticaNeueLT Std" w:hAnsi="HelveticaNeueLT Std"/>
          <w:sz w:val="22"/>
          <w:szCs w:val="22"/>
          <w:lang w:eastAsia="en-GB"/>
        </w:rPr>
        <w:t xml:space="preserve">in their </w:t>
      </w:r>
      <w:r>
        <w:rPr>
          <w:rFonts w:ascii="HelveticaNeueLT Std" w:hAnsi="HelveticaNeueLT Std"/>
          <w:sz w:val="22"/>
          <w:szCs w:val="22"/>
          <w:lang w:eastAsia="en-GB"/>
        </w:rPr>
        <w:t xml:space="preserve">personnel </w:t>
      </w:r>
      <w:r w:rsidRPr="00D656AA">
        <w:rPr>
          <w:rFonts w:ascii="HelveticaNeueLT Std" w:hAnsi="HelveticaNeueLT Std"/>
          <w:sz w:val="22"/>
          <w:szCs w:val="22"/>
          <w:lang w:eastAsia="en-GB"/>
        </w:rPr>
        <w:t>records</w:t>
      </w:r>
      <w:r>
        <w:rPr>
          <w:rFonts w:ascii="HelveticaNeueLT Std" w:hAnsi="HelveticaNeueLT Std"/>
          <w:sz w:val="22"/>
          <w:szCs w:val="22"/>
          <w:lang w:eastAsia="en-GB"/>
        </w:rPr>
        <w:t xml:space="preserve"> for 6 years</w:t>
      </w:r>
      <w:r w:rsidRPr="00D656AA">
        <w:rPr>
          <w:rFonts w:ascii="HelveticaNeueLT Std" w:hAnsi="HelveticaNeueLT Std"/>
          <w:sz w:val="22"/>
          <w:szCs w:val="22"/>
          <w:lang w:eastAsia="en-GB"/>
        </w:rPr>
        <w:t>.</w:t>
      </w:r>
    </w:p>
    <w:p w14:paraId="080AB820" w14:textId="77777777" w:rsidR="00B97662" w:rsidRPr="00D656AA" w:rsidRDefault="00B97662" w:rsidP="00B97662">
      <w:pPr>
        <w:jc w:val="both"/>
        <w:rPr>
          <w:rFonts w:ascii="HelveticaNeueLT Std" w:hAnsi="HelveticaNeueLT Std"/>
          <w:sz w:val="22"/>
          <w:szCs w:val="22"/>
          <w:lang w:eastAsia="en-GB"/>
        </w:rPr>
      </w:pPr>
    </w:p>
    <w:p w14:paraId="1E464965" w14:textId="77777777" w:rsidR="00B97662" w:rsidRDefault="00B97662" w:rsidP="00B97662">
      <w:pPr>
        <w:numPr>
          <w:ilvl w:val="0"/>
          <w:numId w:val="6"/>
        </w:numPr>
        <w:jc w:val="both"/>
        <w:rPr>
          <w:rFonts w:ascii="HelveticaNeueLT Std" w:hAnsi="HelveticaNeueLT Std"/>
          <w:sz w:val="22"/>
          <w:szCs w:val="22"/>
          <w:lang w:eastAsia="en-GB"/>
        </w:rPr>
      </w:pPr>
      <w:r w:rsidRPr="00D656AA">
        <w:rPr>
          <w:rFonts w:ascii="HelveticaNeueLT Std" w:hAnsi="HelveticaNeueLT Std"/>
          <w:sz w:val="22"/>
          <w:szCs w:val="22"/>
          <w:lang w:eastAsia="en-GB"/>
        </w:rPr>
        <w:t xml:space="preserve">Appropriate Food Hygiene Training is then organised by </w:t>
      </w:r>
      <w:r>
        <w:rPr>
          <w:rFonts w:ascii="HelveticaNeueLT Std" w:hAnsi="HelveticaNeueLT Std"/>
          <w:sz w:val="22"/>
          <w:szCs w:val="22"/>
          <w:lang w:eastAsia="en-GB"/>
        </w:rPr>
        <w:t>the</w:t>
      </w:r>
      <w:r w:rsidRPr="00D656AA">
        <w:rPr>
          <w:rFonts w:ascii="HelveticaNeueLT Std" w:hAnsi="HelveticaNeueLT Std"/>
          <w:sz w:val="22"/>
          <w:szCs w:val="22"/>
          <w:lang w:eastAsia="en-GB"/>
        </w:rPr>
        <w:t xml:space="preserve"> </w:t>
      </w:r>
      <w:r>
        <w:rPr>
          <w:rFonts w:ascii="HelveticaNeueLT Std" w:hAnsi="HelveticaNeueLT Std"/>
          <w:sz w:val="22"/>
          <w:szCs w:val="22"/>
          <w:lang w:eastAsia="en-GB"/>
        </w:rPr>
        <w:t>Manager/Headteacher – please refer to the Food Safety Procedure for more information.</w:t>
      </w:r>
      <w:r w:rsidRPr="00D656AA">
        <w:rPr>
          <w:rFonts w:ascii="HelveticaNeueLT Std" w:hAnsi="HelveticaNeueLT Std"/>
          <w:sz w:val="22"/>
          <w:szCs w:val="22"/>
          <w:lang w:eastAsia="en-GB"/>
        </w:rPr>
        <w:t xml:space="preserve"> </w:t>
      </w:r>
      <w:r>
        <w:rPr>
          <w:rFonts w:ascii="HelveticaNeueLT Std" w:hAnsi="HelveticaNeueLT Std"/>
          <w:sz w:val="22"/>
          <w:szCs w:val="22"/>
          <w:lang w:eastAsia="en-GB"/>
        </w:rPr>
        <w:t xml:space="preserve"> </w:t>
      </w:r>
    </w:p>
    <w:p w14:paraId="097A60C8" w14:textId="77777777" w:rsidR="00B97662" w:rsidRDefault="00B97662" w:rsidP="00B97662">
      <w:pPr>
        <w:jc w:val="both"/>
        <w:rPr>
          <w:rFonts w:ascii="HelveticaNeueLT Std" w:hAnsi="HelveticaNeueLT Std"/>
          <w:sz w:val="22"/>
          <w:szCs w:val="22"/>
          <w:lang w:eastAsia="en-GB"/>
        </w:rPr>
      </w:pPr>
    </w:p>
    <w:p w14:paraId="36DF8C9F" w14:textId="77777777" w:rsidR="00B97662" w:rsidRPr="00D656AA" w:rsidRDefault="00B97662" w:rsidP="00B97662">
      <w:pPr>
        <w:numPr>
          <w:ilvl w:val="0"/>
          <w:numId w:val="6"/>
        </w:numPr>
        <w:jc w:val="both"/>
        <w:rPr>
          <w:rFonts w:ascii="HelveticaNeueLT Std" w:hAnsi="HelveticaNeueLT Std"/>
          <w:sz w:val="22"/>
          <w:szCs w:val="22"/>
          <w:lang w:eastAsia="en-GB"/>
        </w:rPr>
      </w:pPr>
      <w:r>
        <w:rPr>
          <w:rFonts w:ascii="HelveticaNeueLT Std" w:hAnsi="HelveticaNeueLT Std"/>
          <w:sz w:val="22"/>
          <w:szCs w:val="22"/>
          <w:lang w:eastAsia="en-GB"/>
        </w:rPr>
        <w:t>The Manager/Headteacher will give the individual the ‘Health, Safety &amp; Hygiene Rules for Food Handlers’ (Appendix 4 in the Food Handlers: Fitness to Work Procedure)  to read.</w:t>
      </w:r>
    </w:p>
    <w:p w14:paraId="17E0C890" w14:textId="77777777" w:rsidR="00B97662" w:rsidRDefault="00B97662"/>
    <w:sectPr w:rsidR="00B976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366F"/>
    <w:multiLevelType w:val="hybridMultilevel"/>
    <w:tmpl w:val="FB406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1D3BC6"/>
    <w:multiLevelType w:val="hybridMultilevel"/>
    <w:tmpl w:val="20A81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AC6D8F"/>
    <w:multiLevelType w:val="hybridMultilevel"/>
    <w:tmpl w:val="CEB21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2A3E2E"/>
    <w:multiLevelType w:val="hybridMultilevel"/>
    <w:tmpl w:val="607E5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2F470D"/>
    <w:multiLevelType w:val="hybridMultilevel"/>
    <w:tmpl w:val="23888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F4F42A5"/>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62"/>
    <w:rsid w:val="002007F6"/>
    <w:rsid w:val="00B9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A3EC"/>
  <w15:chartTrackingRefBased/>
  <w15:docId w15:val="{FFC7C925-2480-4EA4-B1FE-00948958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7662"/>
    <w:rPr>
      <w:color w:val="0000FF"/>
      <w:u w:val="single"/>
    </w:rPr>
  </w:style>
  <w:style w:type="paragraph" w:styleId="ListParagraph">
    <w:name w:val="List Paragraph"/>
    <w:basedOn w:val="Normal"/>
    <w:uiPriority w:val="34"/>
    <w:qFormat/>
    <w:rsid w:val="00B976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ervice-areas/public-health/health-safety-and-well-being/what-occupational-health" TargetMode="External"/><Relationship Id="rId3" Type="http://schemas.openxmlformats.org/officeDocument/2006/relationships/settings" Target="settings.xml"/><Relationship Id="rId7" Type="http://schemas.openxmlformats.org/officeDocument/2006/relationships/hyperlink" Target="https://www.haringey.gov.uk/business/licensing-and-regulations/health-and-safety/food-safe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net/service-areas/public-health/health-safety-and-well-being/health-and-safety/health-safety-and-wellbeing-tea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Kypriotis Angela</dc:creator>
  <cp:keywords/>
  <dc:description/>
  <cp:lastModifiedBy>Kypriotis Angela</cp:lastModifiedBy>
  <cp:revision>1</cp:revision>
  <dcterms:created xsi:type="dcterms:W3CDTF">2020-11-11T17:48:00Z</dcterms:created>
  <dcterms:modified xsi:type="dcterms:W3CDTF">2020-11-11T17:49:00Z</dcterms:modified>
</cp:coreProperties>
</file>